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494" w:rsidRDefault="00865494" w:rsidP="00865494">
      <w:pPr>
        <w:spacing w:line="480" w:lineRule="auto"/>
        <w:jc w:val="center"/>
        <w:rPr>
          <w:rFonts w:ascii="Times New Roman" w:hAnsi="Times New Roman" w:cs="Times New Roman"/>
          <w:sz w:val="24"/>
          <w:szCs w:val="24"/>
        </w:rPr>
      </w:pPr>
    </w:p>
    <w:p w:rsidR="00865494" w:rsidRDefault="00865494" w:rsidP="00865494">
      <w:pPr>
        <w:spacing w:line="480" w:lineRule="auto"/>
        <w:jc w:val="center"/>
        <w:rPr>
          <w:rFonts w:ascii="Times New Roman" w:hAnsi="Times New Roman" w:cs="Times New Roman"/>
          <w:sz w:val="24"/>
          <w:szCs w:val="24"/>
        </w:rPr>
      </w:pPr>
    </w:p>
    <w:p w:rsidR="00865494" w:rsidRDefault="00865494" w:rsidP="00865494">
      <w:pPr>
        <w:spacing w:line="480" w:lineRule="auto"/>
        <w:jc w:val="center"/>
        <w:rPr>
          <w:rFonts w:ascii="Times New Roman" w:hAnsi="Times New Roman" w:cs="Times New Roman"/>
          <w:sz w:val="24"/>
          <w:szCs w:val="24"/>
        </w:rPr>
      </w:pPr>
    </w:p>
    <w:p w:rsidR="00865494" w:rsidRDefault="00865494" w:rsidP="00865494">
      <w:pPr>
        <w:spacing w:line="480" w:lineRule="auto"/>
        <w:jc w:val="center"/>
        <w:rPr>
          <w:rFonts w:ascii="Times New Roman" w:hAnsi="Times New Roman" w:cs="Times New Roman"/>
          <w:sz w:val="24"/>
          <w:szCs w:val="24"/>
        </w:rPr>
      </w:pPr>
    </w:p>
    <w:p w:rsidR="00865494" w:rsidRDefault="00865494" w:rsidP="00865494">
      <w:pPr>
        <w:spacing w:line="480" w:lineRule="auto"/>
        <w:jc w:val="center"/>
        <w:rPr>
          <w:rFonts w:ascii="Times New Roman" w:hAnsi="Times New Roman" w:cs="Times New Roman"/>
          <w:sz w:val="24"/>
          <w:szCs w:val="24"/>
        </w:rPr>
      </w:pPr>
    </w:p>
    <w:p w:rsidR="00865494" w:rsidRDefault="00865494" w:rsidP="00865494">
      <w:pPr>
        <w:spacing w:line="480" w:lineRule="auto"/>
        <w:jc w:val="center"/>
        <w:rPr>
          <w:rFonts w:ascii="Times New Roman" w:hAnsi="Times New Roman" w:cs="Times New Roman"/>
          <w:sz w:val="24"/>
          <w:szCs w:val="24"/>
        </w:rPr>
      </w:pPr>
    </w:p>
    <w:p w:rsidR="005F177A" w:rsidRP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Advocacy Strategy Paper</w:t>
      </w:r>
    </w:p>
    <w:p w:rsidR="00865494" w:rsidRP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Name:</w:t>
      </w:r>
    </w:p>
    <w:p w:rsidR="00865494" w:rsidRP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Course:</w:t>
      </w:r>
    </w:p>
    <w:p w:rsidR="00865494" w:rsidRP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Institution:</w:t>
      </w:r>
    </w:p>
    <w:p w:rsidR="00865494" w:rsidRP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Instructor:</w:t>
      </w:r>
    </w:p>
    <w:p w:rsidR="00865494" w:rsidRDefault="00865494" w:rsidP="00865494">
      <w:pPr>
        <w:spacing w:line="480" w:lineRule="auto"/>
        <w:jc w:val="center"/>
        <w:rPr>
          <w:rFonts w:ascii="Times New Roman" w:hAnsi="Times New Roman" w:cs="Times New Roman"/>
          <w:sz w:val="24"/>
          <w:szCs w:val="24"/>
        </w:rPr>
      </w:pPr>
      <w:r w:rsidRPr="00865494">
        <w:rPr>
          <w:rFonts w:ascii="Times New Roman" w:hAnsi="Times New Roman" w:cs="Times New Roman"/>
          <w:sz w:val="24"/>
          <w:szCs w:val="24"/>
        </w:rPr>
        <w:t>Date:</w:t>
      </w:r>
    </w:p>
    <w:p w:rsidR="004C212A" w:rsidRDefault="00865494" w:rsidP="00C31B6F">
      <w:pPr>
        <w:rPr>
          <w:rFonts w:ascii="Times New Roman" w:hAnsi="Times New Roman" w:cs="Times New Roman"/>
          <w:sz w:val="24"/>
          <w:szCs w:val="24"/>
        </w:rPr>
      </w:pPr>
      <w:r>
        <w:rPr>
          <w:rFonts w:ascii="Times New Roman" w:hAnsi="Times New Roman" w:cs="Times New Roman"/>
          <w:sz w:val="24"/>
          <w:szCs w:val="24"/>
        </w:rPr>
        <w:br w:type="page"/>
      </w:r>
    </w:p>
    <w:sdt>
      <w:sdtPr>
        <w:id w:val="-918322142"/>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C27E77" w:rsidRDefault="00C27E77">
          <w:pPr>
            <w:pStyle w:val="TOCHeading"/>
          </w:pPr>
          <w:r>
            <w:t>Contents</w:t>
          </w:r>
        </w:p>
        <w:p w:rsidR="00C27E77" w:rsidRDefault="00C27E77">
          <w:pPr>
            <w:pStyle w:val="TOC1"/>
            <w:tabs>
              <w:tab w:val="right" w:leader="dot" w:pos="9350"/>
            </w:tabs>
            <w:rPr>
              <w:rFonts w:eastAsiaTheme="minorEastAsia"/>
              <w:noProof/>
              <w:lang w:val="en-GB" w:eastAsia="en-GB"/>
            </w:rPr>
          </w:pPr>
          <w:r>
            <w:fldChar w:fldCharType="begin"/>
          </w:r>
          <w:r>
            <w:instrText xml:space="preserve"> TOC \o "1-3" \h \z \u </w:instrText>
          </w:r>
          <w:r>
            <w:fldChar w:fldCharType="separate"/>
          </w:r>
          <w:hyperlink w:anchor="_Toc511963383" w:history="1">
            <w:r w:rsidRPr="00BA0709">
              <w:rPr>
                <w:rStyle w:val="Hyperlink"/>
                <w:noProof/>
              </w:rPr>
              <w:t>Campaign goals</w:t>
            </w:r>
            <w:r>
              <w:rPr>
                <w:noProof/>
                <w:webHidden/>
              </w:rPr>
              <w:tab/>
            </w:r>
            <w:r>
              <w:rPr>
                <w:noProof/>
                <w:webHidden/>
              </w:rPr>
              <w:fldChar w:fldCharType="begin"/>
            </w:r>
            <w:r>
              <w:rPr>
                <w:noProof/>
                <w:webHidden/>
              </w:rPr>
              <w:instrText xml:space="preserve"> PAGEREF _Toc511963383 \h </w:instrText>
            </w:r>
            <w:r>
              <w:rPr>
                <w:noProof/>
                <w:webHidden/>
              </w:rPr>
            </w:r>
            <w:r>
              <w:rPr>
                <w:noProof/>
                <w:webHidden/>
              </w:rPr>
              <w:fldChar w:fldCharType="separate"/>
            </w:r>
            <w:r>
              <w:rPr>
                <w:noProof/>
                <w:webHidden/>
              </w:rPr>
              <w:t>3</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4" w:history="1">
            <w:r w:rsidRPr="00BA0709">
              <w:rPr>
                <w:rStyle w:val="Hyperlink"/>
                <w:noProof/>
              </w:rPr>
              <w:t>Drawing attention to the problem</w:t>
            </w:r>
            <w:r>
              <w:rPr>
                <w:noProof/>
                <w:webHidden/>
              </w:rPr>
              <w:tab/>
            </w:r>
            <w:r>
              <w:rPr>
                <w:noProof/>
                <w:webHidden/>
              </w:rPr>
              <w:fldChar w:fldCharType="begin"/>
            </w:r>
            <w:r>
              <w:rPr>
                <w:noProof/>
                <w:webHidden/>
              </w:rPr>
              <w:instrText xml:space="preserve"> PAGEREF _Toc511963384 \h </w:instrText>
            </w:r>
            <w:r>
              <w:rPr>
                <w:noProof/>
                <w:webHidden/>
              </w:rPr>
            </w:r>
            <w:r>
              <w:rPr>
                <w:noProof/>
                <w:webHidden/>
              </w:rPr>
              <w:fldChar w:fldCharType="separate"/>
            </w:r>
            <w:r>
              <w:rPr>
                <w:noProof/>
                <w:webHidden/>
              </w:rPr>
              <w:t>4</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5" w:history="1">
            <w:r w:rsidRPr="00BA0709">
              <w:rPr>
                <w:rStyle w:val="Hyperlink"/>
                <w:noProof/>
              </w:rPr>
              <w:t>Salary schedule and teacher compensation</w:t>
            </w:r>
            <w:r>
              <w:rPr>
                <w:noProof/>
                <w:webHidden/>
              </w:rPr>
              <w:tab/>
            </w:r>
            <w:r>
              <w:rPr>
                <w:noProof/>
                <w:webHidden/>
              </w:rPr>
              <w:fldChar w:fldCharType="begin"/>
            </w:r>
            <w:r>
              <w:rPr>
                <w:noProof/>
                <w:webHidden/>
              </w:rPr>
              <w:instrText xml:space="preserve"> PAGEREF _Toc511963385 \h </w:instrText>
            </w:r>
            <w:r>
              <w:rPr>
                <w:noProof/>
                <w:webHidden/>
              </w:rPr>
            </w:r>
            <w:r>
              <w:rPr>
                <w:noProof/>
                <w:webHidden/>
              </w:rPr>
              <w:fldChar w:fldCharType="separate"/>
            </w:r>
            <w:r>
              <w:rPr>
                <w:noProof/>
                <w:webHidden/>
              </w:rPr>
              <w:t>6</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6" w:history="1">
            <w:r w:rsidRPr="00BA0709">
              <w:rPr>
                <w:rStyle w:val="Hyperlink"/>
                <w:noProof/>
              </w:rPr>
              <w:t>Attention to the interaction with the government</w:t>
            </w:r>
            <w:r>
              <w:rPr>
                <w:noProof/>
                <w:webHidden/>
              </w:rPr>
              <w:tab/>
            </w:r>
            <w:r>
              <w:rPr>
                <w:noProof/>
                <w:webHidden/>
              </w:rPr>
              <w:fldChar w:fldCharType="begin"/>
            </w:r>
            <w:r>
              <w:rPr>
                <w:noProof/>
                <w:webHidden/>
              </w:rPr>
              <w:instrText xml:space="preserve"> PAGEREF _Toc511963386 \h </w:instrText>
            </w:r>
            <w:r>
              <w:rPr>
                <w:noProof/>
                <w:webHidden/>
              </w:rPr>
            </w:r>
            <w:r>
              <w:rPr>
                <w:noProof/>
                <w:webHidden/>
              </w:rPr>
              <w:fldChar w:fldCharType="separate"/>
            </w:r>
            <w:r>
              <w:rPr>
                <w:noProof/>
                <w:webHidden/>
              </w:rPr>
              <w:t>7</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7" w:history="1">
            <w:r w:rsidRPr="00BA0709">
              <w:rPr>
                <w:rStyle w:val="Hyperlink"/>
                <w:noProof/>
              </w:rPr>
              <w:t>Specific attention to sequencing</w:t>
            </w:r>
            <w:r>
              <w:rPr>
                <w:noProof/>
                <w:webHidden/>
              </w:rPr>
              <w:tab/>
            </w:r>
            <w:r>
              <w:rPr>
                <w:noProof/>
                <w:webHidden/>
              </w:rPr>
              <w:fldChar w:fldCharType="begin"/>
            </w:r>
            <w:r>
              <w:rPr>
                <w:noProof/>
                <w:webHidden/>
              </w:rPr>
              <w:instrText xml:space="preserve"> PAGEREF _Toc511963387 \h </w:instrText>
            </w:r>
            <w:r>
              <w:rPr>
                <w:noProof/>
                <w:webHidden/>
              </w:rPr>
            </w:r>
            <w:r>
              <w:rPr>
                <w:noProof/>
                <w:webHidden/>
              </w:rPr>
              <w:fldChar w:fldCharType="separate"/>
            </w:r>
            <w:r>
              <w:rPr>
                <w:noProof/>
                <w:webHidden/>
              </w:rPr>
              <w:t>8</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8" w:history="1">
            <w:r w:rsidRPr="00BA0709">
              <w:rPr>
                <w:rStyle w:val="Hyperlink"/>
                <w:noProof/>
              </w:rPr>
              <w:t>Policy issues</w:t>
            </w:r>
            <w:r>
              <w:rPr>
                <w:noProof/>
                <w:webHidden/>
              </w:rPr>
              <w:tab/>
            </w:r>
            <w:r>
              <w:rPr>
                <w:noProof/>
                <w:webHidden/>
              </w:rPr>
              <w:fldChar w:fldCharType="begin"/>
            </w:r>
            <w:r>
              <w:rPr>
                <w:noProof/>
                <w:webHidden/>
              </w:rPr>
              <w:instrText xml:space="preserve"> PAGEREF _Toc511963388 \h </w:instrText>
            </w:r>
            <w:r>
              <w:rPr>
                <w:noProof/>
                <w:webHidden/>
              </w:rPr>
            </w:r>
            <w:r>
              <w:rPr>
                <w:noProof/>
                <w:webHidden/>
              </w:rPr>
              <w:fldChar w:fldCharType="separate"/>
            </w:r>
            <w:r>
              <w:rPr>
                <w:noProof/>
                <w:webHidden/>
              </w:rPr>
              <w:t>9</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89" w:history="1">
            <w:r w:rsidRPr="00BA0709">
              <w:rPr>
                <w:rStyle w:val="Hyperlink"/>
                <w:noProof/>
              </w:rPr>
              <w:t>Benefits</w:t>
            </w:r>
            <w:r>
              <w:rPr>
                <w:noProof/>
                <w:webHidden/>
              </w:rPr>
              <w:tab/>
            </w:r>
            <w:r>
              <w:rPr>
                <w:noProof/>
                <w:webHidden/>
              </w:rPr>
              <w:fldChar w:fldCharType="begin"/>
            </w:r>
            <w:r>
              <w:rPr>
                <w:noProof/>
                <w:webHidden/>
              </w:rPr>
              <w:instrText xml:space="preserve"> PAGEREF _Toc511963389 \h </w:instrText>
            </w:r>
            <w:r>
              <w:rPr>
                <w:noProof/>
                <w:webHidden/>
              </w:rPr>
            </w:r>
            <w:r>
              <w:rPr>
                <w:noProof/>
                <w:webHidden/>
              </w:rPr>
              <w:fldChar w:fldCharType="separate"/>
            </w:r>
            <w:r>
              <w:rPr>
                <w:noProof/>
                <w:webHidden/>
              </w:rPr>
              <w:t>10</w:t>
            </w:r>
            <w:r>
              <w:rPr>
                <w:noProof/>
                <w:webHidden/>
              </w:rPr>
              <w:fldChar w:fldCharType="end"/>
            </w:r>
          </w:hyperlink>
        </w:p>
        <w:p w:rsidR="00C27E77" w:rsidRDefault="00C27E77">
          <w:pPr>
            <w:pStyle w:val="TOC1"/>
            <w:tabs>
              <w:tab w:val="right" w:leader="dot" w:pos="9350"/>
            </w:tabs>
            <w:rPr>
              <w:rFonts w:eastAsiaTheme="minorEastAsia"/>
              <w:noProof/>
              <w:lang w:val="en-GB" w:eastAsia="en-GB"/>
            </w:rPr>
          </w:pPr>
          <w:hyperlink w:anchor="_Toc511963390" w:history="1">
            <w:r w:rsidRPr="00BA0709">
              <w:rPr>
                <w:rStyle w:val="Hyperlink"/>
                <w:noProof/>
              </w:rPr>
              <w:t>References</w:t>
            </w:r>
            <w:r>
              <w:rPr>
                <w:noProof/>
                <w:webHidden/>
              </w:rPr>
              <w:tab/>
            </w:r>
            <w:r>
              <w:rPr>
                <w:noProof/>
                <w:webHidden/>
              </w:rPr>
              <w:fldChar w:fldCharType="begin"/>
            </w:r>
            <w:r>
              <w:rPr>
                <w:noProof/>
                <w:webHidden/>
              </w:rPr>
              <w:instrText xml:space="preserve"> PAGEREF _Toc511963390 \h </w:instrText>
            </w:r>
            <w:r>
              <w:rPr>
                <w:noProof/>
                <w:webHidden/>
              </w:rPr>
            </w:r>
            <w:r>
              <w:rPr>
                <w:noProof/>
                <w:webHidden/>
              </w:rPr>
              <w:fldChar w:fldCharType="separate"/>
            </w:r>
            <w:r>
              <w:rPr>
                <w:noProof/>
                <w:webHidden/>
              </w:rPr>
              <w:t>12</w:t>
            </w:r>
            <w:r>
              <w:rPr>
                <w:noProof/>
                <w:webHidden/>
              </w:rPr>
              <w:fldChar w:fldCharType="end"/>
            </w:r>
          </w:hyperlink>
        </w:p>
        <w:p w:rsidR="00C27E77" w:rsidRDefault="00C27E77">
          <w:r>
            <w:rPr>
              <w:b/>
              <w:bCs/>
              <w:noProof/>
            </w:rPr>
            <w:fldChar w:fldCharType="end"/>
          </w:r>
        </w:p>
      </w:sdtContent>
    </w:sdt>
    <w:p w:rsidR="00EE1E00" w:rsidRPr="002105FE" w:rsidRDefault="00EE1E00" w:rsidP="00012DCD">
      <w:pPr>
        <w:rPr>
          <w:rFonts w:ascii="Times New Roman" w:hAnsi="Times New Roman" w:cs="Times New Roman"/>
          <w:b/>
          <w:sz w:val="24"/>
          <w:szCs w:val="24"/>
        </w:rPr>
      </w:pPr>
    </w:p>
    <w:p w:rsidR="008D5C32" w:rsidRDefault="008D5C32"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Default="003C64D9" w:rsidP="00012DCD">
      <w:pPr>
        <w:rPr>
          <w:rFonts w:ascii="Times New Roman" w:hAnsi="Times New Roman" w:cs="Times New Roman"/>
          <w:sz w:val="24"/>
          <w:szCs w:val="24"/>
        </w:rPr>
      </w:pPr>
    </w:p>
    <w:p w:rsidR="003C64D9" w:rsidRPr="00012DCD" w:rsidRDefault="003C64D9" w:rsidP="00012DCD">
      <w:pPr>
        <w:rPr>
          <w:rFonts w:ascii="Times New Roman" w:hAnsi="Times New Roman" w:cs="Times New Roman"/>
          <w:sz w:val="24"/>
          <w:szCs w:val="24"/>
        </w:rPr>
      </w:pPr>
    </w:p>
    <w:p w:rsidR="00776264" w:rsidRPr="00D67A9F" w:rsidRDefault="00776264" w:rsidP="00C27E77">
      <w:pPr>
        <w:pStyle w:val="Heading1"/>
        <w:jc w:val="center"/>
      </w:pPr>
      <w:bookmarkStart w:id="0" w:name="_Toc511963383"/>
      <w:r w:rsidRPr="00D67A9F">
        <w:lastRenderedPageBreak/>
        <w:t>Campaign goals</w:t>
      </w:r>
      <w:bookmarkEnd w:id="0"/>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A collective bargaining agreement will be the only milestone in the long fight towards better teachers’ conditions of service and salaries. The advocacy paper aims at creating a permanent solution for this agony by bringing the sense to the National Education Association, the state and the national government as well as the teachers’ union to come together and discuss issues concerning teachers’ remuneration and condition of services. The collective bargaining agreement should consider the principal of equity where the government needs to budget $3.6 billion more than that originally budgeted. The traditional pay for teachers is an imperfect system there is the need to explore alternative pay structures that involves compensating teachers not for how long they have been in the profession but on how well they do the teaching. There is also the need to address the disproportionate and the inequalities in the pay system of teachers, with a special focus on whether the payment should be determined by credentials and the level of experience or it will be based on how well the teacher delivers. In general, terms, teachers are underpaid with their annual salaries being lower than all the other professions such as lawyers, doctors, accountants and others. The National Education Association needs to address this matter to rank the teaching profession closely with the other professions. Equalizing salaries and paying teachers on performance bases are the reasons for the advocacy, the objective is to ensure that teachers are also compensated appropriately without discrimination. Currently, there are no top-quality teachers because teaching has become undesirable due to low paychecks. If paychecks are raised and tenure eliminated, teaching will once again become a desirable profession and will, therefore, attract talented individuals to become teachers thus making the country more educated (Darling, 2003).</w:t>
      </w:r>
    </w:p>
    <w:p w:rsidR="00485569" w:rsidRPr="00485569" w:rsidRDefault="00485569" w:rsidP="00485569">
      <w:pPr>
        <w:spacing w:line="480" w:lineRule="auto"/>
        <w:ind w:firstLine="720"/>
        <w:rPr>
          <w:rFonts w:ascii="Times New Roman" w:hAnsi="Times New Roman" w:cs="Times New Roman"/>
          <w:sz w:val="24"/>
          <w:szCs w:val="24"/>
        </w:rPr>
      </w:pPr>
    </w:p>
    <w:p w:rsidR="00485569" w:rsidRPr="00474DB7" w:rsidRDefault="00485569" w:rsidP="00C27E77">
      <w:pPr>
        <w:pStyle w:val="Heading1"/>
        <w:jc w:val="center"/>
      </w:pPr>
      <w:bookmarkStart w:id="1" w:name="_Toc511963384"/>
      <w:r w:rsidRPr="00474DB7">
        <w:lastRenderedPageBreak/>
        <w:t>Drawing attention to the problem</w:t>
      </w:r>
      <w:bookmarkEnd w:id="1"/>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Teachers pay should be reconsidered and made to levels that will make every teacher comfortable and motivated while performing their duties. Low teacher compensation has more effects than just demotivating and lowering the morale of the teaching staffs. Undervaluing the teaching profession by giving them low compensation is more dangerous than it is thought to be. It is simply creating a negative impression by telling the next generation of bright educators not to bother teaching or that if they dare, they must take a vow of poverty. This is putting the students at a risk since teachers who spend nights and weekends working other jobs cannot possibly devote the necessary attention to their students or lesson plans. Teachers are very important to the future; it is argued that children are the future but without adults to teach them about the future they might not wake from their dream. Teachers contribute a lot more than they get credit for and their salaries should be upped a lot. They pass through a lot in their career but what they are awarded as compensation is not enough compared to the amount of work they are entitled to (Murnane, 1986).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The notion of equal pay for equal work is reasonable in the teaching profession, where fixed salary schedule resonate how the majority of teachers are paid. There are inequalities in public schools teacher’s compensation the observation is motivated by prominent debates about inequalities in both school finance and teacher pension systems, which share a common origin in teacher salaries. Researchers have shown that there is an overall salary inequality among public teachers in comparison to other occupations. Additionally, teachers’ salaries show relatively high levels of inequality based on age education and geography. It was found that wage inequalities for teachers considerably vary across the state and, teacher who tend to have high wages are </w:t>
      </w:r>
      <w:r w:rsidRPr="00485569">
        <w:rPr>
          <w:rFonts w:ascii="Times New Roman" w:hAnsi="Times New Roman" w:cs="Times New Roman"/>
          <w:sz w:val="24"/>
          <w:szCs w:val="24"/>
        </w:rPr>
        <w:lastRenderedPageBreak/>
        <w:t xml:space="preserve">those with both higher levels of school funding inequalities and pension inequalities (Alam, 2009).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Arguments about how teachers should be compensated have an unfortunate </w:t>
      </w:r>
      <w:r w:rsidR="00474DB7" w:rsidRPr="00485569">
        <w:rPr>
          <w:rFonts w:ascii="Times New Roman" w:hAnsi="Times New Roman" w:cs="Times New Roman"/>
          <w:sz w:val="24"/>
          <w:szCs w:val="24"/>
        </w:rPr>
        <w:t>behavior</w:t>
      </w:r>
      <w:r w:rsidRPr="00485569">
        <w:rPr>
          <w:rFonts w:ascii="Times New Roman" w:hAnsi="Times New Roman" w:cs="Times New Roman"/>
          <w:sz w:val="24"/>
          <w:szCs w:val="24"/>
        </w:rPr>
        <w:t xml:space="preserve"> of emphasizing on big blanket solutions. Many Unions usually want the status to </w:t>
      </w:r>
      <w:r w:rsidR="00474DB7" w:rsidRPr="00485569">
        <w:rPr>
          <w:rFonts w:ascii="Times New Roman" w:hAnsi="Times New Roman" w:cs="Times New Roman"/>
          <w:sz w:val="24"/>
          <w:szCs w:val="24"/>
        </w:rPr>
        <w:t>remain,</w:t>
      </w:r>
      <w:r w:rsidRPr="00485569">
        <w:rPr>
          <w:rFonts w:ascii="Times New Roman" w:hAnsi="Times New Roman" w:cs="Times New Roman"/>
          <w:sz w:val="24"/>
          <w:szCs w:val="24"/>
        </w:rPr>
        <w:t xml:space="preserve"> as they are where teachers are paid based on their level of education and job experience. Nevertheless, the issue remains that teachers are not compensated as it is supposed to be. The pay system for teachers should be revised to ensure that what teachers get as their compensation is equivalent to the work they do, the pay should also be closely related to that of other professionals.  There is need to pay teachers more so as to attract better people into the profession and compete with other nations in terms of value addition (Johnson, 2006).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The issue of low teachers pay has been in existence for a very long period the main problem being that the teachers are not paid enough compared to the amount of work they do in schools. On annual basis, the teachers’ salaries are below those of other professionals under the same administration. Teachers’ wages differ from that of other professionals not only on the amount but also in the steepness of the salary curve over a career. Teaching rewards experience like any other profession. However, unlike many other careers, its degree of pay is linked to the seniority and the extent to which it affects earnings towards the end of teacher’s career. They pay system is not fair for teachers, in comparison to other professions such as lawyers, doctors, accountants and others, it is clear that they reach their peak salaries at their age of forty years unlike teachers who get to the age of forty while still earning very low amounts and do not get at the peak of their salaries until they get to the age of fifty-five years or more. This demonstrates that teacher’s higher salaries are concentrated at the end of their career (Odden, 2002).</w:t>
      </w:r>
    </w:p>
    <w:p w:rsidR="00485569" w:rsidRPr="00C53805" w:rsidRDefault="00485569" w:rsidP="00C27E77">
      <w:pPr>
        <w:pStyle w:val="Heading1"/>
        <w:jc w:val="center"/>
      </w:pPr>
      <w:bookmarkStart w:id="2" w:name="_Toc511963385"/>
      <w:r w:rsidRPr="00C53805">
        <w:lastRenderedPageBreak/>
        <w:t>Salary schedule and teacher compensation</w:t>
      </w:r>
      <w:bookmarkEnd w:id="2"/>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Teachers play a critical role in our public education system but the students whom they teach feel more effects. For the last one decade, policies and researchers have both emphasized on attempts to attract, develop, and retain highly effective teachers in classrooms. Public school teachers are overwhelmingly compensated using salary schedules, in which districts or states set salary levels for teachers with adjustments made depending on teachers’ years of experience and education credentials. Problems arise here since there is no relationship between the credentials and the level of performance the level of credentials does not make any difference for students. Gains in productivity conversely are associated with increased teaching experience, although the shape of the productivity gain over time does not match the shape of reward to teaching experience (Ingersoll, 2008).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The national average salary for public school teachers in 2015-2016 was $58,064 according to the annual dataset published by the National Center for Education Statistics. Many individuals feel that the pay should increase greatly although the numbers vary greatly based on demographics and political ideologies across the board, the general feeling supported paying teachers more. Most current policies discussion concerning teachers’ remuneration is not clear about students outcome will be affected when policies are changed. The United States is currently at a bead equilibrium where it cannot increase salaries for effective teachers without increasing salaries for ineffective teachers and therefore the country remain stuck with teaching policies that are harming the students and the future economics of the country. An increase in the salary can improve school district attractiveness within their local teacher labour market and increase both the size and the quality of the teacher applicant pool. Frequent changes in the </w:t>
      </w:r>
      <w:r w:rsidRPr="00485569">
        <w:rPr>
          <w:rFonts w:ascii="Times New Roman" w:hAnsi="Times New Roman" w:cs="Times New Roman"/>
          <w:sz w:val="24"/>
          <w:szCs w:val="24"/>
        </w:rPr>
        <w:lastRenderedPageBreak/>
        <w:t>budgets and leadership priorities in the majority of districts have lead teachers to expect the opposite (Schacter, 2004).</w:t>
      </w:r>
    </w:p>
    <w:p w:rsidR="00485569" w:rsidRPr="0006194F" w:rsidRDefault="00485569" w:rsidP="00C27E77">
      <w:pPr>
        <w:pStyle w:val="Heading1"/>
        <w:jc w:val="center"/>
      </w:pPr>
      <w:bookmarkStart w:id="3" w:name="_Toc511963386"/>
      <w:r w:rsidRPr="0006194F">
        <w:t>Attention to the interaction with the government</w:t>
      </w:r>
      <w:bookmarkEnd w:id="3"/>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Everyone knows that no one goes to teaching to get rich, but on the other hand, teachers do not expect to be penalized for their chosen profession. A new study finds that the difference between the teachers pay compared to other public workers is bigger than ever. The weekly wages for teachers is 17% lower compared to college-educated professionals and more worse to veteran and male teachers. The finding from the study conducted by Sylvia Allegretto and Lawrence Mishel who are both economists shown that on average the weekly wages of public sector teacher decreased by $30 every week from the year 1996 to the year 2005, from $1,122 to $1,092. On the other hand, all college graduates weekly wages increased from $1,292 to $1,416 over the same period. Furthermore, for all tutors, the relative wage gap has increasingly grown from the mid-1990s from -1.8% in 1994 to -17.0% in the year 2015, there is an estimated wage gap of -13.9% for female teachers.  As relative teacher wage gaps have broadened, the differences may be attributed to trade off between benefits and pay. Non-wage benefits as a share of total compensation in 2016 were more important for tutors at 26.6% than for other professionals at 21.6%. The bottom line is that teacher compensation has decreased from the 1990s to date (Clotfelter, 2008).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An effective tutor is the most crucial school-based determinant of education outcome. It is essential that the state recruit and retain high-quality tutors. Many factors are increasing the demand for teachers including the desire to increase diversity, the shrinking class size, and the need to meet higher standards. Simply, the demand is escalating while the supply of teachers is diminishing simultaneously. The supply is decreasing at every stage of the career ladder. On the </w:t>
      </w:r>
      <w:r w:rsidRPr="00485569">
        <w:rPr>
          <w:rFonts w:ascii="Times New Roman" w:hAnsi="Times New Roman" w:cs="Times New Roman"/>
          <w:sz w:val="24"/>
          <w:szCs w:val="24"/>
        </w:rPr>
        <w:lastRenderedPageBreak/>
        <w:t xml:space="preserve">front end, very few students are entering the profession, the small fraction of the skilled college students who chose to become teachers has declined for decades, and all this is intertwined to poor pay and remuneration. Several factors are connected to the trend, the major one been that tutors are less satisfied and more stressed due to the disproportionate and the inequality in their pay system. Additionally, the structure used to compensate teachers does not meet their demands given that the economic situations have increased over the years. There has been no goodwill negotiations between the state and the teachers to collectively agree on how they should be compensated thus the Union feels that teachers have been neglected based on the fact that the gap between the teacher pay and other professionals in widening after every financial year. The teachers have unsuccessfully attempted to express their concerns but all their claims have been ignored. Strikes and go-slows to attract the attention of the state government to address their concerns have not borne any </w:t>
      </w:r>
      <w:r w:rsidR="0006194F" w:rsidRPr="00485569">
        <w:rPr>
          <w:rFonts w:ascii="Times New Roman" w:hAnsi="Times New Roman" w:cs="Times New Roman"/>
          <w:sz w:val="24"/>
          <w:szCs w:val="24"/>
        </w:rPr>
        <w:t>fruits;</w:t>
      </w:r>
      <w:r w:rsidRPr="00485569">
        <w:rPr>
          <w:rFonts w:ascii="Times New Roman" w:hAnsi="Times New Roman" w:cs="Times New Roman"/>
          <w:sz w:val="24"/>
          <w:szCs w:val="24"/>
        </w:rPr>
        <w:t xml:space="preserve"> many are the times they are promised to have a pay rise within the next financial year, which has not been the case even for one single moment. We are calling for the attention of the National Education Association to address the matter, which have not been a concern for many years (Bacharach, 1984). </w:t>
      </w:r>
    </w:p>
    <w:p w:rsidR="00485569" w:rsidRPr="0006194F" w:rsidRDefault="00485569" w:rsidP="00C27E77">
      <w:pPr>
        <w:pStyle w:val="Heading1"/>
        <w:jc w:val="center"/>
      </w:pPr>
      <w:bookmarkStart w:id="4" w:name="_Toc511963387"/>
      <w:r w:rsidRPr="0006194F">
        <w:t>Specific attention to sequencing</w:t>
      </w:r>
      <w:bookmarkEnd w:id="4"/>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The national and the state government has to take a broad step and address the issue, steps to address the issue are clear and precise. As mentioned earlier money or resources is not the problem but the will the stakeholders to allocate more funds to pay teachers. The ministry of education needs to consider convening a meeting with the teachers Union leaders and have a collective bargaining agreement that will address the issues of teachers’ compensation. The teacher employers need also to promise teachers to </w:t>
      </w:r>
      <w:r w:rsidR="0006194F" w:rsidRPr="00485569">
        <w:rPr>
          <w:rFonts w:ascii="Times New Roman" w:hAnsi="Times New Roman" w:cs="Times New Roman"/>
          <w:sz w:val="24"/>
          <w:szCs w:val="24"/>
        </w:rPr>
        <w:t>honor</w:t>
      </w:r>
      <w:r w:rsidRPr="00485569">
        <w:rPr>
          <w:rFonts w:ascii="Times New Roman" w:hAnsi="Times New Roman" w:cs="Times New Roman"/>
          <w:sz w:val="24"/>
          <w:szCs w:val="24"/>
        </w:rPr>
        <w:t xml:space="preserve"> the collective bargaining agreement as opposed to just formulating and signing. Agreements that have been there before have not been </w:t>
      </w:r>
      <w:r w:rsidR="0006194F" w:rsidRPr="00485569">
        <w:rPr>
          <w:rFonts w:ascii="Times New Roman" w:hAnsi="Times New Roman" w:cs="Times New Roman"/>
          <w:sz w:val="24"/>
          <w:szCs w:val="24"/>
        </w:rPr>
        <w:lastRenderedPageBreak/>
        <w:t>honored</w:t>
      </w:r>
      <w:r w:rsidRPr="00485569">
        <w:rPr>
          <w:rFonts w:ascii="Times New Roman" w:hAnsi="Times New Roman" w:cs="Times New Roman"/>
          <w:sz w:val="24"/>
          <w:szCs w:val="24"/>
        </w:rPr>
        <w:t xml:space="preserve"> the mistake should not be repeated again to promote transparency between the teachers and the employer this will also ensure that teachers deliver in their call and improve the quality of education (Hargreaves, 2003).</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The Union and the other relevant parties’ needs to convene, negotiate, discuss and come up with a solution that will be agreed upon by all parties. The Union together with its members should then analyze the agreement and decide whether they are satisfied. The National Education Association and the teachers’ Unions needs to speak in the same language and advocate for teachers pay rise. The government must put resources into this system to work where the teachers will receive a pay rise for the services they offer (Hargreaves, 2003).</w:t>
      </w:r>
    </w:p>
    <w:p w:rsidR="00485569" w:rsidRPr="0006194F" w:rsidRDefault="00485569" w:rsidP="00C27E77">
      <w:pPr>
        <w:pStyle w:val="Heading1"/>
        <w:jc w:val="center"/>
      </w:pPr>
      <w:bookmarkStart w:id="5" w:name="_Toc511963388"/>
      <w:r w:rsidRPr="0006194F">
        <w:t>Policy issues</w:t>
      </w:r>
      <w:bookmarkEnd w:id="5"/>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National Education Association is responsible for supporting public school teachers and other support personnel, faculty and staffers at college and universities, retired educators and college students aspiring to become tutors. Their mission is to advocate for education professionals and to unite their members and the country to </w:t>
      </w:r>
      <w:r w:rsidR="0006194F" w:rsidRPr="00485569">
        <w:rPr>
          <w:rFonts w:ascii="Times New Roman" w:hAnsi="Times New Roman" w:cs="Times New Roman"/>
          <w:sz w:val="24"/>
          <w:szCs w:val="24"/>
        </w:rPr>
        <w:t>fulfill</w:t>
      </w:r>
      <w:r w:rsidRPr="00485569">
        <w:rPr>
          <w:rFonts w:ascii="Times New Roman" w:hAnsi="Times New Roman" w:cs="Times New Roman"/>
          <w:sz w:val="24"/>
          <w:szCs w:val="24"/>
        </w:rPr>
        <w:t xml:space="preserve"> the promise of public education to prepare every student to succeed in a diverse and independent world. The National Education Association has taken a position on policy issues including, increasing funds for education, a minimum $40,000 starting annual salary for all teachers and lowering the achievement gap. The teacher's remuneration policy does not specify the trend or how the teachers pay should grow for a certain period it also generalizes all teachers without putting into consideration to their individual performances. These uncompetitive salaries will only make it complicated to attract the best talents to the teaching profession. The continued teachers’ depression wages will harm the quality of schooling based on the world’s educational figures. </w:t>
      </w:r>
      <w:r w:rsidRPr="00485569">
        <w:rPr>
          <w:rFonts w:ascii="Times New Roman" w:hAnsi="Times New Roman" w:cs="Times New Roman"/>
          <w:sz w:val="24"/>
          <w:szCs w:val="24"/>
        </w:rPr>
        <w:lastRenderedPageBreak/>
        <w:t>The fall in the teachers pays continuously, widen the gap between them and equally qualified professions from other fields putting the future of teaching career at stake (Lazear, 2001).</w:t>
      </w:r>
    </w:p>
    <w:p w:rsidR="00485569" w:rsidRPr="0006194F" w:rsidRDefault="00485569" w:rsidP="00C27E77">
      <w:pPr>
        <w:pStyle w:val="Heading1"/>
        <w:jc w:val="center"/>
      </w:pPr>
      <w:bookmarkStart w:id="6" w:name="_Toc511963389"/>
      <w:r w:rsidRPr="0006194F">
        <w:t>Benefits</w:t>
      </w:r>
      <w:bookmarkEnd w:id="6"/>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The advocacy paper is aimed at campaigning for a rise in the teachers pay; data have shown that teaching is among the most unappreciated profession in terms of remuneration. It’s the authors hope that the National Education Association will put into consideration the issues contained in this document to ensure that teachers are compensated in the same way as other professions. Working on this issue will create a corporate culture of happiness and boost the morale of the teachers, which will result in increased quality education and greater achievements in attracting more top talents in the teaching career. This social problem has existed for a very long period and the attempts by teachers to have the issue addressed through strikes and go-slows have been ignored with only negative effects befalling the students and the quality of education (Mok, 2000). </w:t>
      </w:r>
    </w:p>
    <w:p w:rsidR="00485569" w:rsidRPr="00485569" w:rsidRDefault="00485569" w:rsidP="00485569">
      <w:pPr>
        <w:spacing w:line="480" w:lineRule="auto"/>
        <w:ind w:firstLine="720"/>
        <w:rPr>
          <w:rFonts w:ascii="Times New Roman" w:hAnsi="Times New Roman" w:cs="Times New Roman"/>
          <w:sz w:val="24"/>
          <w:szCs w:val="24"/>
        </w:rPr>
      </w:pPr>
      <w:r w:rsidRPr="00485569">
        <w:rPr>
          <w:rFonts w:ascii="Times New Roman" w:hAnsi="Times New Roman" w:cs="Times New Roman"/>
          <w:sz w:val="24"/>
          <w:szCs w:val="24"/>
        </w:rPr>
        <w:t xml:space="preserve">A teacher has taken through every person who has an opportunity to go to school. Every tutor has laid a profound legacy on their students and therefore deserves to be exalted in their profession. Many people might think that teachers are paid too much in their profession; in this case, one must be prudent in their beliefs by considering plausible reasons that tutors deserve a pay rise, such as the role they play in our future. Teachers are spending more time in the classroom than anyone would anticipate and what come on their way, as compensation is not comparable to their efforts. Tutors are the foundation for our future, they guarantee a society of continued innovation by educating the people who will ounce lead the nation. The American citizens need to invest more resources and money to ensure that those who take a broad step and wish to become teachers are not deterred by factors surrounding a pay gap. There are endless </w:t>
      </w:r>
      <w:r w:rsidRPr="00485569">
        <w:rPr>
          <w:rFonts w:ascii="Times New Roman" w:hAnsi="Times New Roman" w:cs="Times New Roman"/>
          <w:sz w:val="24"/>
          <w:szCs w:val="24"/>
        </w:rPr>
        <w:lastRenderedPageBreak/>
        <w:t xml:space="preserve">benefits associated with increasing teacher pay ranging from quality education, committed to delivering, improved performance, attracting more talents to the teaching industry and many more. All levels of educators are experiencing the same challenges, from preschool educators to tertiary level instructors; about a third of preschool educators in the United States receive very low pay so that they receive assistance from the public for food stamps and medics despite working full time. Low payment discourages bright young adults from teaching kids in their early years at the end of the </w:t>
      </w:r>
      <w:r w:rsidR="008F3D0A" w:rsidRPr="00485569">
        <w:rPr>
          <w:rFonts w:ascii="Times New Roman" w:hAnsi="Times New Roman" w:cs="Times New Roman"/>
          <w:sz w:val="24"/>
          <w:szCs w:val="24"/>
        </w:rPr>
        <w:t>day;</w:t>
      </w:r>
      <w:r w:rsidRPr="00485569">
        <w:rPr>
          <w:rFonts w:ascii="Times New Roman" w:hAnsi="Times New Roman" w:cs="Times New Roman"/>
          <w:sz w:val="24"/>
          <w:szCs w:val="24"/>
        </w:rPr>
        <w:t xml:space="preserve"> low pay for teachers ends up affecting all of us. Compared to other many social problems, this one is not intractable, the fact is money is not the problem but there is no will to do it. Investing in teachers is investing in our children as well as our country (Feiman, 1984). </w:t>
      </w:r>
    </w:p>
    <w:p w:rsidR="00485569" w:rsidRPr="00485569" w:rsidRDefault="00485569" w:rsidP="00485569">
      <w:pPr>
        <w:spacing w:line="480" w:lineRule="auto"/>
        <w:jc w:val="center"/>
        <w:rPr>
          <w:rFonts w:ascii="Times New Roman" w:hAnsi="Times New Roman" w:cs="Times New Roman"/>
          <w:sz w:val="24"/>
          <w:szCs w:val="24"/>
        </w:rPr>
      </w:pPr>
    </w:p>
    <w:p w:rsidR="00485569" w:rsidRPr="00485569" w:rsidRDefault="00485569" w:rsidP="00485569">
      <w:pPr>
        <w:spacing w:line="480" w:lineRule="auto"/>
        <w:jc w:val="center"/>
        <w:rPr>
          <w:rFonts w:ascii="Times New Roman" w:hAnsi="Times New Roman" w:cs="Times New Roman"/>
          <w:sz w:val="24"/>
          <w:szCs w:val="24"/>
        </w:rPr>
      </w:pPr>
    </w:p>
    <w:p w:rsidR="00485569" w:rsidRPr="00485569" w:rsidRDefault="00485569" w:rsidP="00485569">
      <w:pPr>
        <w:spacing w:line="480" w:lineRule="auto"/>
        <w:jc w:val="center"/>
        <w:rPr>
          <w:rFonts w:ascii="Times New Roman" w:hAnsi="Times New Roman" w:cs="Times New Roman"/>
          <w:sz w:val="24"/>
          <w:szCs w:val="24"/>
        </w:rPr>
      </w:pPr>
    </w:p>
    <w:p w:rsidR="00485569" w:rsidRPr="00485569" w:rsidRDefault="00485569" w:rsidP="00485569">
      <w:pPr>
        <w:spacing w:line="480" w:lineRule="auto"/>
        <w:jc w:val="center"/>
        <w:rPr>
          <w:rFonts w:ascii="Times New Roman" w:hAnsi="Times New Roman" w:cs="Times New Roman"/>
          <w:sz w:val="24"/>
          <w:szCs w:val="24"/>
        </w:rPr>
      </w:pPr>
    </w:p>
    <w:p w:rsidR="00485569" w:rsidRPr="00485569" w:rsidRDefault="00485569" w:rsidP="00485569">
      <w:pPr>
        <w:spacing w:line="480" w:lineRule="auto"/>
        <w:jc w:val="center"/>
        <w:rPr>
          <w:rFonts w:ascii="Times New Roman" w:hAnsi="Times New Roman" w:cs="Times New Roman"/>
          <w:sz w:val="24"/>
          <w:szCs w:val="24"/>
        </w:rPr>
      </w:pPr>
    </w:p>
    <w:p w:rsidR="00344D8E" w:rsidRDefault="00344D8E" w:rsidP="00613B7F">
      <w:pPr>
        <w:spacing w:line="480" w:lineRule="auto"/>
        <w:jc w:val="center"/>
        <w:rPr>
          <w:rFonts w:ascii="Times New Roman" w:hAnsi="Times New Roman" w:cs="Times New Roman"/>
          <w:sz w:val="24"/>
          <w:szCs w:val="24"/>
        </w:rPr>
      </w:pPr>
    </w:p>
    <w:p w:rsidR="006D29D7" w:rsidRDefault="006D29D7" w:rsidP="006D29D7">
      <w:pPr>
        <w:spacing w:line="480" w:lineRule="auto"/>
        <w:rPr>
          <w:rFonts w:ascii="Times New Roman" w:hAnsi="Times New Roman" w:cs="Times New Roman"/>
          <w:sz w:val="24"/>
          <w:szCs w:val="24"/>
        </w:rPr>
      </w:pPr>
    </w:p>
    <w:p w:rsidR="00173622" w:rsidRDefault="00173622" w:rsidP="006D29D7">
      <w:pPr>
        <w:spacing w:line="480" w:lineRule="auto"/>
        <w:rPr>
          <w:rFonts w:ascii="Times New Roman" w:hAnsi="Times New Roman" w:cs="Times New Roman"/>
          <w:sz w:val="24"/>
          <w:szCs w:val="24"/>
        </w:rPr>
      </w:pPr>
    </w:p>
    <w:p w:rsidR="00C27E77" w:rsidRDefault="00C27E77" w:rsidP="00613B7F">
      <w:pPr>
        <w:spacing w:line="480" w:lineRule="auto"/>
        <w:jc w:val="center"/>
        <w:rPr>
          <w:rFonts w:ascii="Times New Roman" w:hAnsi="Times New Roman" w:cs="Times New Roman"/>
          <w:sz w:val="24"/>
          <w:szCs w:val="24"/>
        </w:rPr>
      </w:pPr>
      <w:bookmarkStart w:id="7" w:name="_GoBack"/>
      <w:bookmarkEnd w:id="7"/>
    </w:p>
    <w:p w:rsidR="00C27E77" w:rsidRDefault="00C27E77" w:rsidP="00613B7F">
      <w:pPr>
        <w:spacing w:line="480" w:lineRule="auto"/>
        <w:jc w:val="center"/>
        <w:rPr>
          <w:rFonts w:ascii="Times New Roman" w:hAnsi="Times New Roman" w:cs="Times New Roman"/>
          <w:sz w:val="24"/>
          <w:szCs w:val="24"/>
        </w:rPr>
      </w:pPr>
    </w:p>
    <w:p w:rsidR="00FA1D77" w:rsidRDefault="00613B7F" w:rsidP="00C27E77">
      <w:pPr>
        <w:pStyle w:val="Heading1"/>
        <w:jc w:val="center"/>
      </w:pPr>
      <w:bookmarkStart w:id="8" w:name="_Toc511963390"/>
      <w:r>
        <w:lastRenderedPageBreak/>
        <w:t>References</w:t>
      </w:r>
      <w:bookmarkEnd w:id="8"/>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Alam</w:t>
      </w:r>
      <w:proofErr w:type="spellEnd"/>
      <w:r w:rsidRPr="00757888">
        <w:rPr>
          <w:rFonts w:ascii="Times New Roman" w:hAnsi="Times New Roman" w:cs="Times New Roman"/>
          <w:color w:val="222222"/>
          <w:sz w:val="24"/>
          <w:szCs w:val="24"/>
          <w:shd w:val="clear" w:color="auto" w:fill="FFFFFF"/>
        </w:rPr>
        <w:t>, G. M. (2009). Can governance and regulatory control ensure private higher education as business or public goods in Bangladesh</w:t>
      </w:r>
      <w:proofErr w:type="gramStart"/>
      <w:r w:rsidRPr="00757888">
        <w:rPr>
          <w:rFonts w:ascii="Times New Roman" w:hAnsi="Times New Roman" w:cs="Times New Roman"/>
          <w:color w:val="222222"/>
          <w:sz w:val="24"/>
          <w:szCs w:val="24"/>
          <w:shd w:val="clear" w:color="auto" w:fill="FFFFFF"/>
        </w:rPr>
        <w:t>?.</w:t>
      </w:r>
      <w:proofErr w:type="gramEnd"/>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African Journal of Business Management</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3</w:t>
      </w:r>
      <w:r w:rsidRPr="00757888">
        <w:rPr>
          <w:rFonts w:ascii="Times New Roman" w:hAnsi="Times New Roman" w:cs="Times New Roman"/>
          <w:color w:val="222222"/>
          <w:sz w:val="24"/>
          <w:szCs w:val="24"/>
          <w:shd w:val="clear" w:color="auto" w:fill="FFFFFF"/>
        </w:rPr>
        <w:t>(12), 890.</w:t>
      </w:r>
    </w:p>
    <w:p w:rsidR="00C27E77" w:rsidRPr="00757888" w:rsidRDefault="00C27E77" w:rsidP="00757888">
      <w:pPr>
        <w:spacing w:line="480" w:lineRule="auto"/>
        <w:ind w:left="720" w:hanging="720"/>
        <w:rPr>
          <w:rFonts w:ascii="Times New Roman" w:hAnsi="Times New Roman" w:cs="Times New Roman"/>
          <w:sz w:val="24"/>
          <w:szCs w:val="24"/>
        </w:rPr>
      </w:pPr>
      <w:r w:rsidRPr="00757888">
        <w:rPr>
          <w:rFonts w:ascii="Times New Roman" w:hAnsi="Times New Roman" w:cs="Times New Roman"/>
          <w:color w:val="222222"/>
          <w:sz w:val="24"/>
          <w:szCs w:val="24"/>
          <w:shd w:val="clear" w:color="auto" w:fill="FFFFFF"/>
        </w:rPr>
        <w:t>Bacharach, S. B. (1984).</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Paying for Better Teaching: Merit Pay and Its Alternatives. OAP Monograph Series</w:t>
      </w:r>
      <w:r w:rsidRPr="00757888">
        <w:rPr>
          <w:rFonts w:ascii="Times New Roman" w:hAnsi="Times New Roman" w:cs="Times New Roman"/>
          <w:color w:val="222222"/>
          <w:sz w:val="24"/>
          <w:szCs w:val="24"/>
          <w:shd w:val="clear" w:color="auto" w:fill="FFFFFF"/>
        </w:rPr>
        <w:t>. Publication Sales, Organizational Analysis and Practice, Inc., Boardman House, 120 East Buffalo Street, Ithaca, NY 14850.</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Clotfelter</w:t>
      </w:r>
      <w:proofErr w:type="spellEnd"/>
      <w:r w:rsidRPr="00757888">
        <w:rPr>
          <w:rFonts w:ascii="Times New Roman" w:hAnsi="Times New Roman" w:cs="Times New Roman"/>
          <w:color w:val="222222"/>
          <w:sz w:val="24"/>
          <w:szCs w:val="24"/>
          <w:shd w:val="clear" w:color="auto" w:fill="FFFFFF"/>
        </w:rPr>
        <w:t>, C., Glennie, E., Ladd, H., &amp; Vigdor, J. (2008). Would higher salaries keep teachers in high-poverty schools? Evidence from a policy intervention in North Carolina.</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Journal of Public Economics</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92</w:t>
      </w:r>
      <w:r w:rsidRPr="00757888">
        <w:rPr>
          <w:rFonts w:ascii="Times New Roman" w:hAnsi="Times New Roman" w:cs="Times New Roman"/>
          <w:color w:val="222222"/>
          <w:sz w:val="24"/>
          <w:szCs w:val="24"/>
          <w:shd w:val="clear" w:color="auto" w:fill="FFFFFF"/>
        </w:rPr>
        <w:t>(5-6), 1352-1370.</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r w:rsidRPr="00757888">
        <w:rPr>
          <w:rFonts w:ascii="Times New Roman" w:hAnsi="Times New Roman" w:cs="Times New Roman"/>
          <w:color w:val="222222"/>
          <w:sz w:val="24"/>
          <w:szCs w:val="24"/>
          <w:shd w:val="clear" w:color="auto" w:fill="FFFFFF"/>
        </w:rPr>
        <w:t>Darling-Hammond, L. (1997).</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Doing what matters most: Investing in quality teaching</w:t>
      </w:r>
      <w:r w:rsidRPr="00757888">
        <w:rPr>
          <w:rFonts w:ascii="Times New Roman" w:hAnsi="Times New Roman" w:cs="Times New Roman"/>
          <w:color w:val="222222"/>
          <w:sz w:val="24"/>
          <w:szCs w:val="24"/>
          <w:shd w:val="clear" w:color="auto" w:fill="FFFFFF"/>
        </w:rPr>
        <w:t>. National Commission on Teaching &amp; America's Future, Kutztown Distribution Center, 15076 Kutztown Road, PO Box 326, Kutztown, PA 19530-0326.</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r w:rsidRPr="00757888">
        <w:rPr>
          <w:rFonts w:ascii="Times New Roman" w:hAnsi="Times New Roman" w:cs="Times New Roman"/>
          <w:color w:val="222222"/>
          <w:sz w:val="24"/>
          <w:szCs w:val="24"/>
          <w:shd w:val="clear" w:color="auto" w:fill="FFFFFF"/>
        </w:rPr>
        <w:t>Darling-Hammond, L., &amp; Sykes, G. (2003). Wanted, a national teacher supply policy for education: The right way to meet the" highly qualified teacher" challenge.</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Education policy analysis archives</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11</w:t>
      </w:r>
      <w:r w:rsidRPr="00757888">
        <w:rPr>
          <w:rFonts w:ascii="Times New Roman" w:hAnsi="Times New Roman" w:cs="Times New Roman"/>
          <w:color w:val="222222"/>
          <w:sz w:val="24"/>
          <w:szCs w:val="24"/>
          <w:shd w:val="clear" w:color="auto" w:fill="FFFFFF"/>
        </w:rPr>
        <w:t>, 33.</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Feiman-Nemser</w:t>
      </w:r>
      <w:proofErr w:type="spellEnd"/>
      <w:r w:rsidRPr="00757888">
        <w:rPr>
          <w:rFonts w:ascii="Times New Roman" w:hAnsi="Times New Roman" w:cs="Times New Roman"/>
          <w:color w:val="222222"/>
          <w:sz w:val="24"/>
          <w:szCs w:val="24"/>
          <w:shd w:val="clear" w:color="auto" w:fill="FFFFFF"/>
        </w:rPr>
        <w:t>, S., &amp; Floden, R. E. (1984). The Cultures of Teaching. Occasional Paper No. 74.</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r w:rsidRPr="00757888">
        <w:rPr>
          <w:rFonts w:ascii="Times New Roman" w:hAnsi="Times New Roman" w:cs="Times New Roman"/>
          <w:color w:val="222222"/>
          <w:sz w:val="24"/>
          <w:szCs w:val="24"/>
          <w:shd w:val="clear" w:color="auto" w:fill="FFFFFF"/>
        </w:rPr>
        <w:t>Hargreaves, A. (2003).</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Teaching in the knowledge society: Education in the age of insecurity</w:t>
      </w:r>
      <w:r w:rsidRPr="00757888">
        <w:rPr>
          <w:rFonts w:ascii="Times New Roman" w:hAnsi="Times New Roman" w:cs="Times New Roman"/>
          <w:color w:val="222222"/>
          <w:sz w:val="24"/>
          <w:szCs w:val="24"/>
          <w:shd w:val="clear" w:color="auto" w:fill="FFFFFF"/>
        </w:rPr>
        <w:t>. Teachers College Press.</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r w:rsidRPr="00757888">
        <w:rPr>
          <w:rFonts w:ascii="Times New Roman" w:hAnsi="Times New Roman" w:cs="Times New Roman"/>
          <w:color w:val="222222"/>
          <w:sz w:val="24"/>
          <w:szCs w:val="24"/>
          <w:shd w:val="clear" w:color="auto" w:fill="FFFFFF"/>
        </w:rPr>
        <w:t>Ingersoll, R. M., &amp; Perda, D. (2008). The status of teaching as a profession.</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Schools and society: A sociological approach to education</w:t>
      </w:r>
      <w:r w:rsidRPr="00757888">
        <w:rPr>
          <w:rFonts w:ascii="Times New Roman" w:hAnsi="Times New Roman" w:cs="Times New Roman"/>
          <w:color w:val="222222"/>
          <w:sz w:val="24"/>
          <w:szCs w:val="24"/>
          <w:shd w:val="clear" w:color="auto" w:fill="FFFFFF"/>
        </w:rPr>
        <w:t>, 106-118.</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r w:rsidRPr="00757888">
        <w:rPr>
          <w:rFonts w:ascii="Times New Roman" w:hAnsi="Times New Roman" w:cs="Times New Roman"/>
          <w:color w:val="222222"/>
          <w:sz w:val="24"/>
          <w:szCs w:val="24"/>
          <w:shd w:val="clear" w:color="auto" w:fill="FFFFFF"/>
        </w:rPr>
        <w:lastRenderedPageBreak/>
        <w:t>Johnson, S. M. (2006). The Workplace Matters: Teacher Quality, Retention, and Effectiveness. Working Paper.</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National Education Association Research Department</w:t>
      </w:r>
      <w:r w:rsidRPr="00757888">
        <w:rPr>
          <w:rFonts w:ascii="Times New Roman" w:hAnsi="Times New Roman" w:cs="Times New Roman"/>
          <w:color w:val="222222"/>
          <w:sz w:val="24"/>
          <w:szCs w:val="24"/>
          <w:shd w:val="clear" w:color="auto" w:fill="FFFFFF"/>
        </w:rPr>
        <w:t>.</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Lazear</w:t>
      </w:r>
      <w:proofErr w:type="spellEnd"/>
      <w:r w:rsidRPr="00757888">
        <w:rPr>
          <w:rFonts w:ascii="Times New Roman" w:hAnsi="Times New Roman" w:cs="Times New Roman"/>
          <w:color w:val="222222"/>
          <w:sz w:val="24"/>
          <w:szCs w:val="24"/>
          <w:shd w:val="clear" w:color="auto" w:fill="FFFFFF"/>
        </w:rPr>
        <w:t>, E. P. (2001). Paying teachers for performance: Incentives and selection.</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Unpublished paper, Hoover Institution and Graduate School of Business, Stanford University</w:t>
      </w:r>
      <w:r w:rsidRPr="00757888">
        <w:rPr>
          <w:rFonts w:ascii="Times New Roman" w:hAnsi="Times New Roman" w:cs="Times New Roman"/>
          <w:color w:val="222222"/>
          <w:sz w:val="24"/>
          <w:szCs w:val="24"/>
          <w:shd w:val="clear" w:color="auto" w:fill="FFFFFF"/>
        </w:rPr>
        <w:t>.</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Mok</w:t>
      </w:r>
      <w:proofErr w:type="spellEnd"/>
      <w:r w:rsidRPr="00757888">
        <w:rPr>
          <w:rFonts w:ascii="Times New Roman" w:hAnsi="Times New Roman" w:cs="Times New Roman"/>
          <w:color w:val="222222"/>
          <w:sz w:val="24"/>
          <w:szCs w:val="24"/>
          <w:shd w:val="clear" w:color="auto" w:fill="FFFFFF"/>
        </w:rPr>
        <w:t>, K. H. (2000). Marketizing hi</w:t>
      </w:r>
      <w:r>
        <w:rPr>
          <w:rFonts w:ascii="Times New Roman" w:hAnsi="Times New Roman" w:cs="Times New Roman"/>
          <w:color w:val="222222"/>
          <w:sz w:val="24"/>
          <w:szCs w:val="24"/>
          <w:shd w:val="clear" w:color="auto" w:fill="FFFFFF"/>
        </w:rPr>
        <w:t>gher education in post-Mao</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International Journal of Educational Development</w:t>
      </w:r>
      <w:r w:rsidRPr="00757888">
        <w:rPr>
          <w:rFonts w:ascii="Times New Roman" w:hAnsi="Times New Roman" w:cs="Times New Roman"/>
          <w:color w:val="222222"/>
          <w:sz w:val="24"/>
          <w:szCs w:val="24"/>
          <w:shd w:val="clear" w:color="auto" w:fill="FFFFFF"/>
        </w:rPr>
        <w:t>,</w:t>
      </w:r>
      <w:r w:rsidRPr="00757888">
        <w:rPr>
          <w:rFonts w:ascii="Times New Roman" w:hAnsi="Times New Roman" w:cs="Times New Roman"/>
          <w:i/>
          <w:iCs/>
          <w:color w:val="222222"/>
          <w:sz w:val="24"/>
          <w:szCs w:val="24"/>
          <w:shd w:val="clear" w:color="auto" w:fill="FFFFFF"/>
        </w:rPr>
        <w:t xml:space="preserve"> 20</w:t>
      </w:r>
      <w:r w:rsidRPr="00757888">
        <w:rPr>
          <w:rFonts w:ascii="Times New Roman" w:hAnsi="Times New Roman" w:cs="Times New Roman"/>
          <w:color w:val="222222"/>
          <w:sz w:val="24"/>
          <w:szCs w:val="24"/>
          <w:shd w:val="clear" w:color="auto" w:fill="FFFFFF"/>
        </w:rPr>
        <w:t>(2), 109-126.</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Murnane</w:t>
      </w:r>
      <w:proofErr w:type="spellEnd"/>
      <w:r w:rsidRPr="00757888">
        <w:rPr>
          <w:rFonts w:ascii="Times New Roman" w:hAnsi="Times New Roman" w:cs="Times New Roman"/>
          <w:color w:val="222222"/>
          <w:sz w:val="24"/>
          <w:szCs w:val="24"/>
          <w:shd w:val="clear" w:color="auto" w:fill="FFFFFF"/>
        </w:rPr>
        <w:t>, R., &amp; Cohen, D. (1986). Merit pay and the evaluation problem: Why most merit pay plans fail and a few survive.</w:t>
      </w:r>
      <w:r w:rsidRPr="00757888">
        <w:rPr>
          <w:rFonts w:ascii="Times New Roman" w:hAnsi="Times New Roman" w:cs="Times New Roman"/>
          <w:i/>
          <w:iCs/>
          <w:color w:val="222222"/>
          <w:sz w:val="24"/>
          <w:szCs w:val="24"/>
          <w:shd w:val="clear" w:color="auto" w:fill="FFFFFF"/>
        </w:rPr>
        <w:t xml:space="preserve"> Harvard educational review</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56</w:t>
      </w:r>
      <w:r w:rsidRPr="00757888">
        <w:rPr>
          <w:rFonts w:ascii="Times New Roman" w:hAnsi="Times New Roman" w:cs="Times New Roman"/>
          <w:color w:val="222222"/>
          <w:sz w:val="24"/>
          <w:szCs w:val="24"/>
          <w:shd w:val="clear" w:color="auto" w:fill="FFFFFF"/>
        </w:rPr>
        <w:t>(1), 1-18.</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Odden</w:t>
      </w:r>
      <w:proofErr w:type="spellEnd"/>
      <w:r w:rsidRPr="00757888">
        <w:rPr>
          <w:rFonts w:ascii="Times New Roman" w:hAnsi="Times New Roman" w:cs="Times New Roman"/>
          <w:color w:val="222222"/>
          <w:sz w:val="24"/>
          <w:szCs w:val="24"/>
          <w:shd w:val="clear" w:color="auto" w:fill="FFFFFF"/>
        </w:rPr>
        <w:t>, A., &amp; Kelley, C. (2002).</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Paying teachers for what they know and do new and smarter compensation strategies to improve schools</w:t>
      </w:r>
      <w:r w:rsidRPr="00757888">
        <w:rPr>
          <w:rFonts w:ascii="Times New Roman" w:hAnsi="Times New Roman" w:cs="Times New Roman"/>
          <w:color w:val="222222"/>
          <w:sz w:val="24"/>
          <w:szCs w:val="24"/>
          <w:shd w:val="clear" w:color="auto" w:fill="FFFFFF"/>
        </w:rPr>
        <w:t>. Corwin Press.</w:t>
      </w:r>
    </w:p>
    <w:p w:rsidR="00C27E77" w:rsidRPr="00757888" w:rsidRDefault="00C27E77" w:rsidP="00757888">
      <w:pPr>
        <w:spacing w:line="480" w:lineRule="auto"/>
        <w:ind w:left="720" w:hanging="720"/>
        <w:rPr>
          <w:rFonts w:ascii="Times New Roman" w:hAnsi="Times New Roman" w:cs="Times New Roman"/>
          <w:color w:val="222222"/>
          <w:sz w:val="24"/>
          <w:szCs w:val="24"/>
          <w:shd w:val="clear" w:color="auto" w:fill="FFFFFF"/>
        </w:rPr>
      </w:pPr>
      <w:proofErr w:type="spellStart"/>
      <w:r w:rsidRPr="00757888">
        <w:rPr>
          <w:rFonts w:ascii="Times New Roman" w:hAnsi="Times New Roman" w:cs="Times New Roman"/>
          <w:color w:val="222222"/>
          <w:sz w:val="24"/>
          <w:szCs w:val="24"/>
          <w:shd w:val="clear" w:color="auto" w:fill="FFFFFF"/>
        </w:rPr>
        <w:t>Schacter</w:t>
      </w:r>
      <w:proofErr w:type="spellEnd"/>
      <w:r w:rsidRPr="00757888">
        <w:rPr>
          <w:rFonts w:ascii="Times New Roman" w:hAnsi="Times New Roman" w:cs="Times New Roman"/>
          <w:color w:val="222222"/>
          <w:sz w:val="24"/>
          <w:szCs w:val="24"/>
          <w:shd w:val="clear" w:color="auto" w:fill="FFFFFF"/>
        </w:rPr>
        <w:t>, J., &amp; Thum, Y. M. (2004). Paying for high-and low-quality teaching.</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Economics of Education Review</w:t>
      </w:r>
      <w:r w:rsidRPr="00757888">
        <w:rPr>
          <w:rFonts w:ascii="Times New Roman" w:hAnsi="Times New Roman" w:cs="Times New Roman"/>
          <w:color w:val="222222"/>
          <w:sz w:val="24"/>
          <w:szCs w:val="24"/>
          <w:shd w:val="clear" w:color="auto" w:fill="FFFFFF"/>
        </w:rPr>
        <w:t>,</w:t>
      </w:r>
      <w:r w:rsidRPr="00757888">
        <w:rPr>
          <w:rStyle w:val="apple-converted-space"/>
          <w:rFonts w:ascii="Times New Roman" w:hAnsi="Times New Roman" w:cs="Times New Roman"/>
          <w:color w:val="222222"/>
          <w:sz w:val="24"/>
          <w:szCs w:val="24"/>
          <w:shd w:val="clear" w:color="auto" w:fill="FFFFFF"/>
        </w:rPr>
        <w:t> </w:t>
      </w:r>
      <w:r w:rsidRPr="00757888">
        <w:rPr>
          <w:rFonts w:ascii="Times New Roman" w:hAnsi="Times New Roman" w:cs="Times New Roman"/>
          <w:i/>
          <w:iCs/>
          <w:color w:val="222222"/>
          <w:sz w:val="24"/>
          <w:szCs w:val="24"/>
          <w:shd w:val="clear" w:color="auto" w:fill="FFFFFF"/>
        </w:rPr>
        <w:t>23</w:t>
      </w:r>
      <w:r w:rsidRPr="00757888">
        <w:rPr>
          <w:rFonts w:ascii="Times New Roman" w:hAnsi="Times New Roman" w:cs="Times New Roman"/>
          <w:color w:val="222222"/>
          <w:sz w:val="24"/>
          <w:szCs w:val="24"/>
          <w:shd w:val="clear" w:color="auto" w:fill="FFFFFF"/>
        </w:rPr>
        <w:t>(4), 411-430.</w:t>
      </w:r>
    </w:p>
    <w:sectPr w:rsidR="00C27E77" w:rsidRPr="00757888" w:rsidSect="008654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E52" w:rsidRDefault="002D7E52" w:rsidP="00865494">
      <w:pPr>
        <w:spacing w:after="0" w:line="240" w:lineRule="auto"/>
      </w:pPr>
      <w:r>
        <w:separator/>
      </w:r>
    </w:p>
  </w:endnote>
  <w:endnote w:type="continuationSeparator" w:id="0">
    <w:p w:rsidR="002D7E52" w:rsidRDefault="002D7E52" w:rsidP="0086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E52" w:rsidRDefault="002D7E52" w:rsidP="00865494">
      <w:pPr>
        <w:spacing w:after="0" w:line="240" w:lineRule="auto"/>
      </w:pPr>
      <w:r>
        <w:separator/>
      </w:r>
    </w:p>
  </w:footnote>
  <w:footnote w:type="continuationSeparator" w:id="0">
    <w:p w:rsidR="002D7E52" w:rsidRDefault="002D7E52" w:rsidP="00865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7622"/>
      <w:docPartObj>
        <w:docPartGallery w:val="Page Numbers (Top of Page)"/>
        <w:docPartUnique/>
      </w:docPartObj>
    </w:sdtPr>
    <w:sdtEndPr/>
    <w:sdtContent>
      <w:p w:rsidR="00AF462E" w:rsidRDefault="00A53210">
        <w:pPr>
          <w:pStyle w:val="Header"/>
          <w:jc w:val="right"/>
        </w:pPr>
        <w:r w:rsidRPr="00865494">
          <w:rPr>
            <w:rFonts w:ascii="Times New Roman" w:hAnsi="Times New Roman" w:cs="Times New Roman"/>
            <w:sz w:val="24"/>
            <w:szCs w:val="24"/>
          </w:rPr>
          <w:fldChar w:fldCharType="begin"/>
        </w:r>
        <w:r w:rsidR="00AF462E" w:rsidRPr="00865494">
          <w:rPr>
            <w:rFonts w:ascii="Times New Roman" w:hAnsi="Times New Roman" w:cs="Times New Roman"/>
            <w:sz w:val="24"/>
            <w:szCs w:val="24"/>
          </w:rPr>
          <w:instrText xml:space="preserve"> PAGE   \* MERGEFORMAT </w:instrText>
        </w:r>
        <w:r w:rsidRPr="00865494">
          <w:rPr>
            <w:rFonts w:ascii="Times New Roman" w:hAnsi="Times New Roman" w:cs="Times New Roman"/>
            <w:sz w:val="24"/>
            <w:szCs w:val="24"/>
          </w:rPr>
          <w:fldChar w:fldCharType="separate"/>
        </w:r>
        <w:r w:rsidR="00C27E77">
          <w:rPr>
            <w:rFonts w:ascii="Times New Roman" w:hAnsi="Times New Roman" w:cs="Times New Roman"/>
            <w:noProof/>
            <w:sz w:val="24"/>
            <w:szCs w:val="24"/>
          </w:rPr>
          <w:t>11</w:t>
        </w:r>
        <w:r w:rsidRPr="00865494">
          <w:rPr>
            <w:rFonts w:ascii="Times New Roman" w:hAnsi="Times New Roman" w:cs="Times New Roman"/>
            <w:sz w:val="24"/>
            <w:szCs w:val="24"/>
          </w:rPr>
          <w:fldChar w:fldCharType="end"/>
        </w:r>
      </w:p>
    </w:sdtContent>
  </w:sdt>
  <w:p w:rsidR="00AF462E" w:rsidRPr="00865494" w:rsidRDefault="00AF462E">
    <w:pPr>
      <w:pStyle w:val="Header"/>
      <w:rPr>
        <w:rFonts w:ascii="Times New Roman" w:hAnsi="Times New Roman" w:cs="Times New Roman"/>
        <w:sz w:val="24"/>
        <w:szCs w:val="24"/>
      </w:rPr>
    </w:pPr>
    <w:r w:rsidRPr="00865494">
      <w:rPr>
        <w:rFonts w:ascii="Times New Roman" w:hAnsi="Times New Roman" w:cs="Times New Roman"/>
        <w:sz w:val="24"/>
        <w:szCs w:val="24"/>
      </w:rPr>
      <w:t>Advocacy Strategy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7579"/>
      <w:docPartObj>
        <w:docPartGallery w:val="Page Numbers (Top of Page)"/>
        <w:docPartUnique/>
      </w:docPartObj>
    </w:sdtPr>
    <w:sdtEndPr/>
    <w:sdtContent>
      <w:p w:rsidR="00AF462E" w:rsidRDefault="00A53210">
        <w:pPr>
          <w:pStyle w:val="Header"/>
          <w:jc w:val="right"/>
        </w:pPr>
        <w:r w:rsidRPr="00865494">
          <w:rPr>
            <w:rFonts w:ascii="Times New Roman" w:hAnsi="Times New Roman" w:cs="Times New Roman"/>
            <w:sz w:val="24"/>
            <w:szCs w:val="24"/>
          </w:rPr>
          <w:fldChar w:fldCharType="begin"/>
        </w:r>
        <w:r w:rsidR="00AF462E" w:rsidRPr="00865494">
          <w:rPr>
            <w:rFonts w:ascii="Times New Roman" w:hAnsi="Times New Roman" w:cs="Times New Roman"/>
            <w:sz w:val="24"/>
            <w:szCs w:val="24"/>
          </w:rPr>
          <w:instrText xml:space="preserve"> PAGE   \* MERGEFORMAT </w:instrText>
        </w:r>
        <w:r w:rsidRPr="00865494">
          <w:rPr>
            <w:rFonts w:ascii="Times New Roman" w:hAnsi="Times New Roman" w:cs="Times New Roman"/>
            <w:sz w:val="24"/>
            <w:szCs w:val="24"/>
          </w:rPr>
          <w:fldChar w:fldCharType="separate"/>
        </w:r>
        <w:r w:rsidR="00C27E77">
          <w:rPr>
            <w:rFonts w:ascii="Times New Roman" w:hAnsi="Times New Roman" w:cs="Times New Roman"/>
            <w:noProof/>
            <w:sz w:val="24"/>
            <w:szCs w:val="24"/>
          </w:rPr>
          <w:t>1</w:t>
        </w:r>
        <w:r w:rsidRPr="00865494">
          <w:rPr>
            <w:rFonts w:ascii="Times New Roman" w:hAnsi="Times New Roman" w:cs="Times New Roman"/>
            <w:sz w:val="24"/>
            <w:szCs w:val="24"/>
          </w:rPr>
          <w:fldChar w:fldCharType="end"/>
        </w:r>
      </w:p>
    </w:sdtContent>
  </w:sdt>
  <w:p w:rsidR="00AF462E" w:rsidRPr="00865494" w:rsidRDefault="00AF462E">
    <w:pPr>
      <w:pStyle w:val="Header"/>
      <w:rPr>
        <w:rFonts w:ascii="Times New Roman" w:hAnsi="Times New Roman" w:cs="Times New Roman"/>
        <w:sz w:val="24"/>
        <w:szCs w:val="24"/>
      </w:rPr>
    </w:pPr>
    <w:r w:rsidRPr="00865494">
      <w:rPr>
        <w:rFonts w:ascii="Times New Roman" w:hAnsi="Times New Roman" w:cs="Times New Roman"/>
        <w:sz w:val="24"/>
        <w:szCs w:val="24"/>
      </w:rPr>
      <w:t>Running head: ADVOCACY STRATEGY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947B3"/>
    <w:multiLevelType w:val="hybridMultilevel"/>
    <w:tmpl w:val="2A0EB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5494"/>
    <w:rsid w:val="00005A93"/>
    <w:rsid w:val="0001093C"/>
    <w:rsid w:val="00012DCD"/>
    <w:rsid w:val="00015148"/>
    <w:rsid w:val="00020061"/>
    <w:rsid w:val="0002288B"/>
    <w:rsid w:val="00036585"/>
    <w:rsid w:val="00052757"/>
    <w:rsid w:val="00055101"/>
    <w:rsid w:val="0006194F"/>
    <w:rsid w:val="00086D3B"/>
    <w:rsid w:val="000A7585"/>
    <w:rsid w:val="000B7818"/>
    <w:rsid w:val="000D78CA"/>
    <w:rsid w:val="000E0F6C"/>
    <w:rsid w:val="000F2518"/>
    <w:rsid w:val="000F28A3"/>
    <w:rsid w:val="000F4D3A"/>
    <w:rsid w:val="000F6823"/>
    <w:rsid w:val="000F7DBA"/>
    <w:rsid w:val="00106F74"/>
    <w:rsid w:val="00110194"/>
    <w:rsid w:val="001161DA"/>
    <w:rsid w:val="0012274D"/>
    <w:rsid w:val="00123E81"/>
    <w:rsid w:val="00125676"/>
    <w:rsid w:val="00156867"/>
    <w:rsid w:val="0017141E"/>
    <w:rsid w:val="00171476"/>
    <w:rsid w:val="00173622"/>
    <w:rsid w:val="0019175C"/>
    <w:rsid w:val="001B0F43"/>
    <w:rsid w:val="001B328F"/>
    <w:rsid w:val="001D070C"/>
    <w:rsid w:val="001D42AE"/>
    <w:rsid w:val="001D7DC4"/>
    <w:rsid w:val="001E3E4B"/>
    <w:rsid w:val="001E3EC3"/>
    <w:rsid w:val="001E5050"/>
    <w:rsid w:val="001E7CD4"/>
    <w:rsid w:val="001F4F05"/>
    <w:rsid w:val="002037D4"/>
    <w:rsid w:val="002104F7"/>
    <w:rsid w:val="002105FE"/>
    <w:rsid w:val="002107E7"/>
    <w:rsid w:val="002128BA"/>
    <w:rsid w:val="00231EA1"/>
    <w:rsid w:val="002338D0"/>
    <w:rsid w:val="00235553"/>
    <w:rsid w:val="00241FFA"/>
    <w:rsid w:val="00243F81"/>
    <w:rsid w:val="00255700"/>
    <w:rsid w:val="00256318"/>
    <w:rsid w:val="00272136"/>
    <w:rsid w:val="00280677"/>
    <w:rsid w:val="002842CB"/>
    <w:rsid w:val="002A2968"/>
    <w:rsid w:val="002C1E50"/>
    <w:rsid w:val="002C3903"/>
    <w:rsid w:val="002C46DA"/>
    <w:rsid w:val="002C7419"/>
    <w:rsid w:val="002D0DD1"/>
    <w:rsid w:val="002D3F9B"/>
    <w:rsid w:val="002D71ED"/>
    <w:rsid w:val="002D7E52"/>
    <w:rsid w:val="002E7B60"/>
    <w:rsid w:val="002F4D2F"/>
    <w:rsid w:val="003211E8"/>
    <w:rsid w:val="00344519"/>
    <w:rsid w:val="00344550"/>
    <w:rsid w:val="00344D8E"/>
    <w:rsid w:val="00372B81"/>
    <w:rsid w:val="003732E8"/>
    <w:rsid w:val="0038120C"/>
    <w:rsid w:val="0038143D"/>
    <w:rsid w:val="00382071"/>
    <w:rsid w:val="00394D01"/>
    <w:rsid w:val="003A1766"/>
    <w:rsid w:val="003A4152"/>
    <w:rsid w:val="003A48EB"/>
    <w:rsid w:val="003C41BB"/>
    <w:rsid w:val="003C64D9"/>
    <w:rsid w:val="003D4FAA"/>
    <w:rsid w:val="003D71B1"/>
    <w:rsid w:val="003E6266"/>
    <w:rsid w:val="003F0DBF"/>
    <w:rsid w:val="003F6137"/>
    <w:rsid w:val="00404454"/>
    <w:rsid w:val="00426514"/>
    <w:rsid w:val="004333FE"/>
    <w:rsid w:val="0044169B"/>
    <w:rsid w:val="00454E87"/>
    <w:rsid w:val="0045523A"/>
    <w:rsid w:val="00457EA9"/>
    <w:rsid w:val="0046168C"/>
    <w:rsid w:val="0046747A"/>
    <w:rsid w:val="00474DB7"/>
    <w:rsid w:val="00482284"/>
    <w:rsid w:val="00483FFD"/>
    <w:rsid w:val="00485569"/>
    <w:rsid w:val="0049373E"/>
    <w:rsid w:val="004A687D"/>
    <w:rsid w:val="004C212A"/>
    <w:rsid w:val="004C3730"/>
    <w:rsid w:val="004C5E3D"/>
    <w:rsid w:val="004E4769"/>
    <w:rsid w:val="004F60AB"/>
    <w:rsid w:val="005022FD"/>
    <w:rsid w:val="0050491D"/>
    <w:rsid w:val="00514EFB"/>
    <w:rsid w:val="0051692B"/>
    <w:rsid w:val="00535A29"/>
    <w:rsid w:val="005543D4"/>
    <w:rsid w:val="00554CA0"/>
    <w:rsid w:val="00560960"/>
    <w:rsid w:val="00580DDC"/>
    <w:rsid w:val="0058363A"/>
    <w:rsid w:val="005C282E"/>
    <w:rsid w:val="005D60F5"/>
    <w:rsid w:val="005E0984"/>
    <w:rsid w:val="005F04D5"/>
    <w:rsid w:val="005F177A"/>
    <w:rsid w:val="005F24D6"/>
    <w:rsid w:val="005F4142"/>
    <w:rsid w:val="00602AC3"/>
    <w:rsid w:val="0061148A"/>
    <w:rsid w:val="00613B7F"/>
    <w:rsid w:val="00615D38"/>
    <w:rsid w:val="0061637D"/>
    <w:rsid w:val="00626F0E"/>
    <w:rsid w:val="00627B7B"/>
    <w:rsid w:val="00632280"/>
    <w:rsid w:val="00647BEE"/>
    <w:rsid w:val="00660EF2"/>
    <w:rsid w:val="00663180"/>
    <w:rsid w:val="00675992"/>
    <w:rsid w:val="00675D7E"/>
    <w:rsid w:val="00676A47"/>
    <w:rsid w:val="006B3388"/>
    <w:rsid w:val="006C2F3D"/>
    <w:rsid w:val="006D29D7"/>
    <w:rsid w:val="006D39AF"/>
    <w:rsid w:val="006D430A"/>
    <w:rsid w:val="006E19FE"/>
    <w:rsid w:val="006E2AA1"/>
    <w:rsid w:val="006E78C2"/>
    <w:rsid w:val="00705AD2"/>
    <w:rsid w:val="0070791B"/>
    <w:rsid w:val="00707E22"/>
    <w:rsid w:val="0072352A"/>
    <w:rsid w:val="007413A5"/>
    <w:rsid w:val="00744543"/>
    <w:rsid w:val="0075183F"/>
    <w:rsid w:val="00756114"/>
    <w:rsid w:val="00757888"/>
    <w:rsid w:val="00766220"/>
    <w:rsid w:val="00766FE1"/>
    <w:rsid w:val="00770124"/>
    <w:rsid w:val="00776264"/>
    <w:rsid w:val="007C6ACD"/>
    <w:rsid w:val="007D2752"/>
    <w:rsid w:val="007D3BA4"/>
    <w:rsid w:val="007F2F68"/>
    <w:rsid w:val="00800D24"/>
    <w:rsid w:val="00800D7C"/>
    <w:rsid w:val="008113A5"/>
    <w:rsid w:val="008113C7"/>
    <w:rsid w:val="00816294"/>
    <w:rsid w:val="00831383"/>
    <w:rsid w:val="008359D5"/>
    <w:rsid w:val="00837757"/>
    <w:rsid w:val="00851627"/>
    <w:rsid w:val="00865494"/>
    <w:rsid w:val="008709B7"/>
    <w:rsid w:val="008822D3"/>
    <w:rsid w:val="00887070"/>
    <w:rsid w:val="008B2596"/>
    <w:rsid w:val="008C03E4"/>
    <w:rsid w:val="008C58B2"/>
    <w:rsid w:val="008D1214"/>
    <w:rsid w:val="008D44BF"/>
    <w:rsid w:val="008D5C32"/>
    <w:rsid w:val="008E4278"/>
    <w:rsid w:val="008F3D0A"/>
    <w:rsid w:val="00900CCD"/>
    <w:rsid w:val="00914B40"/>
    <w:rsid w:val="009222F6"/>
    <w:rsid w:val="00922695"/>
    <w:rsid w:val="00931DC7"/>
    <w:rsid w:val="00932B73"/>
    <w:rsid w:val="00932C31"/>
    <w:rsid w:val="009332E9"/>
    <w:rsid w:val="009371E2"/>
    <w:rsid w:val="009400D0"/>
    <w:rsid w:val="0094102E"/>
    <w:rsid w:val="00944AB5"/>
    <w:rsid w:val="00947B81"/>
    <w:rsid w:val="0096430D"/>
    <w:rsid w:val="00987F48"/>
    <w:rsid w:val="009966B6"/>
    <w:rsid w:val="009A023A"/>
    <w:rsid w:val="009A4247"/>
    <w:rsid w:val="009A6346"/>
    <w:rsid w:val="009B6B7E"/>
    <w:rsid w:val="009B77C8"/>
    <w:rsid w:val="009D63E6"/>
    <w:rsid w:val="009F562A"/>
    <w:rsid w:val="00A03085"/>
    <w:rsid w:val="00A06307"/>
    <w:rsid w:val="00A06FFA"/>
    <w:rsid w:val="00A24A34"/>
    <w:rsid w:val="00A26143"/>
    <w:rsid w:val="00A47216"/>
    <w:rsid w:val="00A53210"/>
    <w:rsid w:val="00A75A3B"/>
    <w:rsid w:val="00A83A35"/>
    <w:rsid w:val="00AB0BB2"/>
    <w:rsid w:val="00AB23C3"/>
    <w:rsid w:val="00AD48BF"/>
    <w:rsid w:val="00AE0F08"/>
    <w:rsid w:val="00AE7798"/>
    <w:rsid w:val="00AF462E"/>
    <w:rsid w:val="00AF6EB4"/>
    <w:rsid w:val="00B26131"/>
    <w:rsid w:val="00B35F92"/>
    <w:rsid w:val="00B5344F"/>
    <w:rsid w:val="00B53E6D"/>
    <w:rsid w:val="00B80564"/>
    <w:rsid w:val="00B86CAE"/>
    <w:rsid w:val="00B9178D"/>
    <w:rsid w:val="00B918E0"/>
    <w:rsid w:val="00B97444"/>
    <w:rsid w:val="00BB1C78"/>
    <w:rsid w:val="00BD0283"/>
    <w:rsid w:val="00BE0D1C"/>
    <w:rsid w:val="00BE1F95"/>
    <w:rsid w:val="00BF593F"/>
    <w:rsid w:val="00C13FBA"/>
    <w:rsid w:val="00C27E77"/>
    <w:rsid w:val="00C31367"/>
    <w:rsid w:val="00C31B6F"/>
    <w:rsid w:val="00C44D56"/>
    <w:rsid w:val="00C45928"/>
    <w:rsid w:val="00C471C8"/>
    <w:rsid w:val="00C53805"/>
    <w:rsid w:val="00C57F62"/>
    <w:rsid w:val="00C65ABD"/>
    <w:rsid w:val="00C7429E"/>
    <w:rsid w:val="00C7457C"/>
    <w:rsid w:val="00C75E1F"/>
    <w:rsid w:val="00C77143"/>
    <w:rsid w:val="00C87213"/>
    <w:rsid w:val="00C9248B"/>
    <w:rsid w:val="00CA0D8E"/>
    <w:rsid w:val="00CC156B"/>
    <w:rsid w:val="00CF55CA"/>
    <w:rsid w:val="00D00442"/>
    <w:rsid w:val="00D00DBF"/>
    <w:rsid w:val="00D25F8E"/>
    <w:rsid w:val="00D3274E"/>
    <w:rsid w:val="00D330AB"/>
    <w:rsid w:val="00D368D1"/>
    <w:rsid w:val="00D37034"/>
    <w:rsid w:val="00D43823"/>
    <w:rsid w:val="00D50BE8"/>
    <w:rsid w:val="00D5744B"/>
    <w:rsid w:val="00D57AE7"/>
    <w:rsid w:val="00D623A1"/>
    <w:rsid w:val="00D67A9F"/>
    <w:rsid w:val="00D700E2"/>
    <w:rsid w:val="00D73548"/>
    <w:rsid w:val="00D73FFB"/>
    <w:rsid w:val="00D97534"/>
    <w:rsid w:val="00DA2D71"/>
    <w:rsid w:val="00DA41C1"/>
    <w:rsid w:val="00DD61DF"/>
    <w:rsid w:val="00E246D1"/>
    <w:rsid w:val="00E43C74"/>
    <w:rsid w:val="00E65AEA"/>
    <w:rsid w:val="00E73F31"/>
    <w:rsid w:val="00EA3A7C"/>
    <w:rsid w:val="00EA4152"/>
    <w:rsid w:val="00EC5716"/>
    <w:rsid w:val="00EE1E00"/>
    <w:rsid w:val="00EE250D"/>
    <w:rsid w:val="00EE267F"/>
    <w:rsid w:val="00F2238A"/>
    <w:rsid w:val="00F51820"/>
    <w:rsid w:val="00F5798B"/>
    <w:rsid w:val="00F64CC7"/>
    <w:rsid w:val="00F82776"/>
    <w:rsid w:val="00F84701"/>
    <w:rsid w:val="00F925F3"/>
    <w:rsid w:val="00F93080"/>
    <w:rsid w:val="00FA1D77"/>
    <w:rsid w:val="00FA78F4"/>
    <w:rsid w:val="00FB58EC"/>
    <w:rsid w:val="00FC1125"/>
    <w:rsid w:val="00FD3C66"/>
    <w:rsid w:val="00FE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553"/>
  </w:style>
  <w:style w:type="paragraph" w:styleId="Heading1">
    <w:name w:val="heading 1"/>
    <w:basedOn w:val="Normal"/>
    <w:next w:val="Normal"/>
    <w:link w:val="Heading1Char"/>
    <w:uiPriority w:val="9"/>
    <w:qFormat/>
    <w:rsid w:val="00C27E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semiHidden/>
    <w:unhideWhenUsed/>
    <w:rsid w:val="008654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5494"/>
  </w:style>
  <w:style w:type="character" w:customStyle="1" w:styleId="apple-converted-space">
    <w:name w:val="apple-converted-space"/>
    <w:basedOn w:val="DefaultParagraphFont"/>
    <w:rsid w:val="00C9248B"/>
  </w:style>
  <w:style w:type="paragraph" w:styleId="ListParagraph">
    <w:name w:val="List Paragraph"/>
    <w:basedOn w:val="Normal"/>
    <w:uiPriority w:val="34"/>
    <w:qFormat/>
    <w:rsid w:val="00012DCD"/>
    <w:pPr>
      <w:ind w:left="720"/>
      <w:contextualSpacing/>
    </w:pPr>
  </w:style>
  <w:style w:type="character" w:customStyle="1" w:styleId="Heading1Char">
    <w:name w:val="Heading 1 Char"/>
    <w:basedOn w:val="DefaultParagraphFont"/>
    <w:link w:val="Heading1"/>
    <w:uiPriority w:val="9"/>
    <w:rsid w:val="00C27E7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27E77"/>
    <w:pPr>
      <w:outlineLvl w:val="9"/>
    </w:pPr>
    <w:rPr>
      <w:lang w:eastAsia="ja-JP"/>
    </w:rPr>
  </w:style>
  <w:style w:type="paragraph" w:styleId="TOC1">
    <w:name w:val="toc 1"/>
    <w:basedOn w:val="Normal"/>
    <w:next w:val="Normal"/>
    <w:autoRedefine/>
    <w:uiPriority w:val="39"/>
    <w:unhideWhenUsed/>
    <w:rsid w:val="00C27E77"/>
    <w:pPr>
      <w:spacing w:after="100"/>
    </w:pPr>
  </w:style>
  <w:style w:type="character" w:styleId="Hyperlink">
    <w:name w:val="Hyperlink"/>
    <w:basedOn w:val="DefaultParagraphFont"/>
    <w:uiPriority w:val="99"/>
    <w:unhideWhenUsed/>
    <w:rsid w:val="00C27E77"/>
    <w:rPr>
      <w:color w:val="0000FF" w:themeColor="hyperlink"/>
      <w:u w:val="single"/>
    </w:rPr>
  </w:style>
  <w:style w:type="paragraph" w:styleId="BalloonText">
    <w:name w:val="Balloon Text"/>
    <w:basedOn w:val="Normal"/>
    <w:link w:val="BalloonTextChar"/>
    <w:uiPriority w:val="99"/>
    <w:semiHidden/>
    <w:unhideWhenUsed/>
    <w:rsid w:val="00C27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E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005F4-8B01-476C-8309-F54B271B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13</Pages>
  <Words>2961</Words>
  <Characters>16882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271</cp:revision>
  <dcterms:created xsi:type="dcterms:W3CDTF">2018-04-19T17:53:00Z</dcterms:created>
  <dcterms:modified xsi:type="dcterms:W3CDTF">2018-04-20T12:00:00Z</dcterms:modified>
</cp:coreProperties>
</file>